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F2" w:rsidRDefault="006064F2" w:rsidP="00582EE6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="Verdana" w:hAnsi="Verdana" w:cs="Arial"/>
          <w:b/>
          <w:noProof/>
          <w:color w:val="000000"/>
          <w:sz w:val="18"/>
          <w:szCs w:val="18"/>
          <w:lang w:eastAsia="el-GR"/>
        </w:rPr>
        <w:drawing>
          <wp:inline distT="0" distB="0" distL="0" distR="0">
            <wp:extent cx="2743200" cy="795020"/>
            <wp:effectExtent l="0" t="0" r="0" b="5080"/>
            <wp:docPr id="1" name="Εικόνα 1" descr="logo_ypοynt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ypοynt_g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4F2" w:rsidRPr="009A225A" w:rsidRDefault="006064F2" w:rsidP="006064F2">
      <w:pPr>
        <w:snapToGrid w:val="0"/>
        <w:spacing w:before="40" w:after="40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9A225A">
        <w:rPr>
          <w:rFonts w:ascii="Verdana" w:hAnsi="Verdana" w:cs="Arial"/>
          <w:b/>
          <w:color w:val="000000"/>
          <w:sz w:val="18"/>
          <w:szCs w:val="18"/>
        </w:rPr>
        <w:t>ΓΕΝΙΚΗ ΓΡΑΜΜΑΤΕΙΑ ΔΗΜΟΣΙΩΝ ΕΠΕΝΔΥΣΕΩΝ – ΕΣΠΑ</w:t>
      </w:r>
    </w:p>
    <w:p w:rsidR="006064F2" w:rsidRDefault="006064F2" w:rsidP="006064F2">
      <w:pPr>
        <w:snapToGrid w:val="0"/>
        <w:spacing w:before="40" w:after="40"/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ΕΘΝΙΚΗ ΑΡΧΗ ΣΥΝΤΟΝΙΣΜΟΥ ΕΣΠΑ</w:t>
      </w:r>
    </w:p>
    <w:p w:rsidR="006064F2" w:rsidRPr="006064F2" w:rsidRDefault="006064F2" w:rsidP="006064F2">
      <w:pPr>
        <w:jc w:val="center"/>
        <w:rPr>
          <w:rFonts w:asciiTheme="majorHAnsi" w:hAnsiTheme="majorHAnsi"/>
          <w:b/>
          <w:sz w:val="24"/>
          <w:szCs w:val="24"/>
        </w:rPr>
      </w:pPr>
      <w:r w:rsidRPr="006064F2">
        <w:rPr>
          <w:rFonts w:ascii="Verdana" w:hAnsi="Verdana" w:cs="Arial"/>
          <w:b/>
          <w:color w:val="000000"/>
          <w:sz w:val="18"/>
          <w:szCs w:val="18"/>
        </w:rPr>
        <w:t xml:space="preserve">ΕΙΔΙΚΗ ΥΠΗΡΕΣΙΑ ΣΤΡΑΤΗΓΙΚΗΣ, ΣΧΕΔΙΑΣΜΟΥ &amp; ΑΞΙΟΛΟΓΗΣΗΣ </w:t>
      </w:r>
    </w:p>
    <w:p w:rsidR="006064F2" w:rsidRPr="00A03DDA" w:rsidRDefault="006064F2" w:rsidP="00582EE6">
      <w:pPr>
        <w:jc w:val="center"/>
        <w:rPr>
          <w:rFonts w:asciiTheme="majorHAnsi" w:hAnsiTheme="majorHAnsi"/>
          <w:b/>
          <w:sz w:val="24"/>
          <w:szCs w:val="24"/>
        </w:rPr>
      </w:pPr>
    </w:p>
    <w:p w:rsidR="00A03DDA" w:rsidRPr="007F5C88" w:rsidRDefault="00A03DDA" w:rsidP="00A03DDA">
      <w:pPr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7F5C88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Σύντομο ενημερωτικό σημείωμα για την παρουσίαση της </w:t>
      </w:r>
      <w:r w:rsidR="00176488" w:rsidRPr="007F5C88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</w:t>
      </w:r>
      <w:r w:rsidRPr="007F5C88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Εγκυκλίου Σχεδιασμού, Υλοποίησης και Παρακολούθησης των Ολοκληρωμένων Χωρικών Επενδύσεων </w:t>
      </w:r>
      <w:r w:rsidR="00176488" w:rsidRPr="007F5C88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                           </w:t>
      </w:r>
      <w:r w:rsidRPr="007F5C88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ως Εργαλείων Ολοκληρωμένης Χωρικής Ανάπτυξης</w:t>
      </w:r>
    </w:p>
    <w:p w:rsidR="007F5C88" w:rsidRDefault="007F5C88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bookmarkStart w:id="0" w:name="_GoBack"/>
      <w:bookmarkEnd w:id="0"/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Οι </w:t>
      </w:r>
      <w:r w:rsidRPr="001176FD">
        <w:rPr>
          <w:rFonts w:asciiTheme="majorHAnsi" w:eastAsia="Times New Roman" w:hAnsiTheme="majorHAnsi" w:cs="Times New Roman"/>
          <w:b/>
          <w:i/>
          <w:sz w:val="22"/>
          <w:lang w:eastAsia="el-GR"/>
        </w:rPr>
        <w:t>Ολοκληρωμένες Χωρικές Επενδύσεις (ΟΧΕ)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αποτελούν εργαλείο ολοκληρωμένης χωρικής ανάπτυξης για την εφαρμογή αναπτυξιακών στρατηγικών σε χωρικές ενότητες που παρουσιάζουν συγκεκριμένα προβλήματα, ή διακρίνονται από σημαντικές αναπτυξιακές δυνατότητες. Η εφαρμογή των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ακολουθεί τις σχετικές διατάξεις του θεσμικού πλαισίου των ΕΔΕΤ, δηλ. του Γενικού Κανονισμού και των Κανονισμών ΕΤΠΑ, ΕΚΤ, ΕΕΣ.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Οι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μπορούν να χρηματοδοτηθούν από τα Ταμεία ΕΚΤ, ΕΤΠΑ και Ταμείο Συνοχής, ενώ όπου κριθεί απαραίτητο θα μπορούσαν να συμπληρώσουν τις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, δράσεις χρηματοδοτούμενες από συγκεκριμένα μέτρα των Ταμείων ΕΓΤΑΑ και ΕΤΘΑ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 xml:space="preserve">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Βάσει του θεσμικού πλαισίου των ΕΔΕΤ και του σχεδιασμού των Επιχειρησιακών Προγραμμάτων οι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διακρίνονται σε: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i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i/>
          <w:sz w:val="22"/>
          <w:lang w:eastAsia="el-GR"/>
        </w:rPr>
        <w:t>Α) ΟΧΕ για Βιώσιμη Αστική Ανάπτυξη (ΒΑΑ),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i/>
          <w:sz w:val="22"/>
          <w:lang w:eastAsia="el-GR"/>
        </w:rPr>
        <w:t>Β) ΟΧΕ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 για άλλες χωρικές στρατηγικές που αφορούν περιοχές εκτός ΒΑΑ, δηλ. εκτός αστικών περιοχών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Στην εγκύκλιο αναφέρονται αναλυτικά οι ενδεικτικές περιοχές παρέμβασης σύμφωνα με το ΕΣΠΑ 2014-20, όμως μπορούμε εδώ συνοπτικά να πούμε ότι 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>οι βασικές περιοχές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στις οποίες δύναται να εφαρμοσθούν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Ολοκληρωμένες Χωρικές Επενδύσεις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είναι: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υπό-περιφερειακές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δια-περιφερειακές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περιοχές και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ειδικά για τον αστικό χώρο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περιοχές των οποίων ο πληθυσμός τους ξεπερνά τους 10000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κατοίκους.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>Αρμόδιοι φορείς: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Α) οι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Διαχειριστικές Αρχές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των προγραμμάτων αποτελούν τις αρμόδιες αρχές για τη διαχείριση, την παρακολούθηση και τον έλεγχο της εφαρμογής των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Στρατηγικών ΟΧΕ/ 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. Η ΔΑ παρακολουθεί επίσης την κάλυψη του ποσοστού που αντιστοιχεί στο κάθε ΕΠ για το συνολικό 5% του ΕΤΠΑ το οποίο θα πρέπει, σύμφωνα με τη δέσμευση στο ΕΣΠΑ, να κατευθυνθεί σε δράσεις αστικής ανάπτυξης,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i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Β) οι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Αστικές Αρχές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δηλ.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δημοτικές αρχές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ή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δίκτυα δήμων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ή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εταιρικά σχήματα με επικεφαλής Δημοτική Αρχή,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Γ) οι Ενδιάμεσοι φορείς (ΕΦ),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το ρόλο των οποίων μπορούν να αναλάβουν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κεντρικοί φορείς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 xml:space="preserve">περιφερειακές ή </w:t>
      </w:r>
      <w:proofErr w:type="spellStart"/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υπο</w:t>
      </w:r>
      <w:proofErr w:type="spellEnd"/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-περιφερειακές αρχές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αστικές αρχές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ή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τοπικοί αναπτυξιακοί φορείς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lastRenderedPageBreak/>
        <w:t xml:space="preserve">Οι ΕΦ διακρίνονται στους φορείς που δύναται να αναλάβουν α) συγκεκριμένα καθήκοντα διαχείρισης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ΟΧΕ,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υπό την ευθύνη της ΔΑ ή, β) τη συνολική διαχείριση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ΟΧΕ,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με παράλληλη διαχείριση μέρους των πόρων του ΕΠ που θα διατεθούν,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u w:val="single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Δ) Η ΕΑΣ και ειδικότερα η ΕΥΣΣΑ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η οποία είναι η αρμόδια Υπηρεσία για την έκδοση κατευθύνσεων και τον συντονισμό του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Δικτύου Ολοκληρωμένης Χωρικής Ανάπτυξης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.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 xml:space="preserve">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u w:val="single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u w:val="single"/>
          <w:lang w:eastAsia="el-GR"/>
        </w:rPr>
        <w:t xml:space="preserve">Η Διαδικασία Σχεδιασμού και Εφαρμογής των </w:t>
      </w:r>
      <w:r w:rsidRPr="001176FD">
        <w:rPr>
          <w:rFonts w:asciiTheme="majorHAnsi" w:eastAsia="Times New Roman" w:hAnsiTheme="majorHAnsi" w:cs="Times New Roman"/>
          <w:b/>
          <w:i/>
          <w:sz w:val="22"/>
          <w:u w:val="single"/>
          <w:lang w:eastAsia="el-GR"/>
        </w:rPr>
        <w:t xml:space="preserve">ΟΧΕ/ ΒΑΑ </w:t>
      </w:r>
      <w:r w:rsidRPr="001176FD">
        <w:rPr>
          <w:rFonts w:asciiTheme="majorHAnsi" w:eastAsia="Times New Roman" w:hAnsiTheme="majorHAnsi" w:cs="Times New Roman"/>
          <w:b/>
          <w:sz w:val="22"/>
          <w:u w:val="single"/>
          <w:lang w:eastAsia="el-GR"/>
        </w:rPr>
        <w:t>ακολουθεί τα παρακάτω βήματα: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Προετοιμασία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i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Ο εντοπισμός των προβλημάτων, των τοπικών δυνατοτήτων και οι κύριες επιλογές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που θα πρέπει να περιλαμβάνονται στο Έγγραφο Εξειδίκευσης και να προέρχονται μέσω διαδικασίας διαβούλευσης, αποτελούν το πρώτο στάδιο της προετοιμασίας για την εκπόνηση της Στρατηγικής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>Το πλήθος των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 xml:space="preserve"> ΟΧΕ 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ορίζεται από την ίδια την Περιφέρεια (ΔΑ), λαμβάνοντας υπόψη μέγεθος και χαρακτηριστικά του πληθυσμού και τις προτεραιότητες του Επιχειρησιακού σας Προγράμματος, εκτιμούμε όμως ότι ο περιορισμένος αριθμός καλά εντοπισμένων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θα μεγιστοποιήσει τα θετικά αποτελέσματα των παρεμβάσεων. Η ΔΑ μπορεί να ακολουθήσει ανταγωνιστική διαδικασία με βάση κριτήρια επιλογής για τις περιοχές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ή να επιλέξει συγκεκριμένη περιοχή παρέμβασης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Σε δεύτερο στάδιο η ΔΑ, διαμορφώνει κατάλληλα το Έγγραφο Εξειδίκευσης του ΕΠ, καταλήγοντας στην πρόσκληση την οποία θα απευθύνει στις Αστικές Αρχές για την υποβολή εκ μέρους τους προτάσεων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 xml:space="preserve">ΟΧΕ/ ΒΑΑ. 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Στην πρόσκληση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 xml:space="preserve"> 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θα πρέπει να περιγράφονται τα καθήκοντα που θα εκχωρηθούν σε Ενδιάμεσο Φορέα.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>Αξιολόγηση και επιλογή των προτάσεων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Στη συνέχεια η ΔΑ αξιολογεί τις προτάσεις που λαμβάνει και τελικά επιλέγει εκείνες που θα χρηματοδοτήσει, βάσει συγκεκριμένων κριτηρίων. Υπογραμμίζουμε ότι η συνεργασία ΔΑ, Αστικής Αρχής και εμπλεκόμενων φορέων είναι απαραίτητη, η δε Αστική Αρχή θα επιφορτιστεί (τουλάχιστον) με καθήκοντα που θα συνδέονται με την επιλογή των πράξεων. 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>Πιο αναλυτικά διακρίνουμε τις παρακάτω περιπτώσεις: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Α) την περίπτωση που στο ΠΕΠ ή στο Έγγραφο Εξειδίκευσης </w:t>
      </w:r>
      <w:r w:rsidRPr="001176FD">
        <w:rPr>
          <w:rFonts w:asciiTheme="majorHAnsi" w:eastAsia="Times New Roman" w:hAnsiTheme="majorHAnsi" w:cs="Times New Roman"/>
          <w:b/>
          <w:sz w:val="22"/>
          <w:u w:val="single"/>
          <w:lang w:eastAsia="el-GR"/>
        </w:rPr>
        <w:t>προβλέπονται ρητά, συγκεκριμένες περιοχές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 xml:space="preserve"> 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στις οποίες θα εφαρμοσθεί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. Σ’ αυτή την περίπτωση,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η ΔΑ καλεί την Αστική Αρχή/ Ενδιάμεσο Φορέα να υποβάλει τη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Στρατηγική 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ή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με το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ακριβές περιεχόμενο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αναλυτικό προϋπολογισμό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των δράσεων/ πράξεων (οι οποίες συνδέονται με δείκτες και αναμενόμενα αποτελέσματα),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συγκεκριμένο Σχέδιο Δράσης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συμπληρωματικότητα με χρηματοδοτικά εργαλεία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και ενδεχόμενη συμμετοχή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άλλων προγραμμάτων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. Αν η ΔΑ προτίθεται να αναθέσει καθήκοντα διαχείρισης σε ΕΦ, θα πρέπει να περιγράφεται το προτεινόμενο σύστημα διαχείρισης, ενώ για την περίπτωση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, οι Αστικές Αρχές ορίζονται εξ’ αρχής ως Ενδιάμεσοι Φορείς.</w:t>
      </w:r>
    </w:p>
    <w:p w:rsidR="00715F1C" w:rsidRPr="001176FD" w:rsidRDefault="00715F1C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Β) 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Την περίπτωση που στο ΠΕΠ </w:t>
      </w:r>
      <w:r w:rsidRPr="001176FD">
        <w:rPr>
          <w:rFonts w:asciiTheme="majorHAnsi" w:eastAsia="Times New Roman" w:hAnsiTheme="majorHAnsi" w:cs="Times New Roman"/>
          <w:b/>
          <w:sz w:val="22"/>
          <w:u w:val="single"/>
          <w:lang w:eastAsia="el-GR"/>
        </w:rPr>
        <w:t>δεν προβλέπονται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 συγκεκριμένες περιοχές </w:t>
      </w:r>
      <w:r w:rsidRPr="001176FD">
        <w:rPr>
          <w:rFonts w:asciiTheme="majorHAnsi" w:eastAsia="Times New Roman" w:hAnsiTheme="majorHAnsi" w:cs="Times New Roman"/>
          <w:b/>
          <w:i/>
          <w:sz w:val="22"/>
          <w:lang w:eastAsia="el-GR"/>
        </w:rPr>
        <w:t>ΟΧΕ/ ΒΑΑ.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, Σ’ αυτή την περίπτωση,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η ΔΑ δημοσιεύει πρόσκληση εκδήλωσης ενδιαφέροντος για την υποβολή προτάσεων από Αστικές Αρχές (για την περίπτωση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) ή από άλλες αρχές (για άλλες περιοχές), σύμφωνα με τα κριτήρια για τους τύπους περιοχών που έχουν καθορισθεί. Οι Αστικές 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lastRenderedPageBreak/>
        <w:t xml:space="preserve">Αρχές καλούνται σε πρώτη φάση να καταθέσουν προτάσεις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Στρατηγικών ΟΧΕ/ 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με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σύντομη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περιγραφή της στρατηγικής,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αρχικό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Σχέδιο Δράσης,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αρχικό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προϋπολογισμό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και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χρονοδιάγραμμα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. Στη συνέχεια και μετά την επιλογή των προτάσεων, καλούνται οι Αστικές Αρχές να καταθέσουν αναλυτικό σχέδιο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Στρατηγικής ΟΧΕ/ 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Επιπλέον στην εγκύκλιο σας παραθέτουμε 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>ενδεικτικά βασικά κριτήρια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(δηλ. κριτήρια ναι/ όχι) </w:t>
      </w: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>και τελικά κριτήρια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(που αφορούν στην ταυτότητα, την αναπτυξιακή δυναμική και τον ολοκληρωμένο χαρακτήρα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Στρατηγικής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). Μπορείτε να τα λάβετε υπόψη σας ώστε να διαμορφώσετε τα κριτήρια για την δική σας περίπτωση.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Να σημειώσουμε ότι λειτουργικά έξοδα των ΕΦ, μπορούν να καλυφθούν από τη Τεχνική Βοήθεια του ΕΠ έως του ύψους του 0,5% της εγκεκριμένης συνολικής δημόσιας δαπάνης της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b/>
          <w:sz w:val="22"/>
          <w:lang w:eastAsia="el-GR"/>
        </w:rPr>
      </w:pP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b/>
          <w:sz w:val="22"/>
          <w:lang w:eastAsia="el-GR"/>
        </w:rPr>
        <w:t xml:space="preserve">Παρακολούθηση της υλοποίησης των </w:t>
      </w:r>
      <w:r w:rsidRPr="001176FD">
        <w:rPr>
          <w:rFonts w:asciiTheme="majorHAnsi" w:eastAsia="Times New Roman" w:hAnsiTheme="majorHAnsi" w:cs="Times New Roman"/>
          <w:b/>
          <w:i/>
          <w:sz w:val="22"/>
          <w:lang w:eastAsia="el-GR"/>
        </w:rPr>
        <w:t>ΟΧΕ/ 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Η παρακολούθηση θα γίνεται ακολουθώντας τους βασικούς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δείκτες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που θα αναφέρονται στο Σχέδιο Δράσης των </w:t>
      </w:r>
      <w:r w:rsidRPr="001176FD">
        <w:rPr>
          <w:rFonts w:asciiTheme="majorHAnsi" w:eastAsia="Times New Roman" w:hAnsiTheme="majorHAnsi" w:cs="Times New Roman"/>
          <w:i/>
          <w:sz w:val="22"/>
          <w:lang w:eastAsia="el-GR"/>
        </w:rPr>
        <w:t>ΟΧΕ/ΒΑΑ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 και μέσω των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ετήσιων εκθέσεων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 xml:space="preserve">, ενώ προβλέπεται και </w:t>
      </w:r>
      <w:r w:rsidRPr="001176FD">
        <w:rPr>
          <w:rFonts w:asciiTheme="majorHAnsi" w:eastAsia="Times New Roman" w:hAnsiTheme="majorHAnsi" w:cs="Times New Roman"/>
          <w:sz w:val="22"/>
          <w:u w:val="single"/>
          <w:lang w:eastAsia="el-GR"/>
        </w:rPr>
        <w:t>συζήτηση της πορείας υλοποίησης τους στην Επιτροπή Παρακολούθησης του ΕΠ</w:t>
      </w:r>
      <w:r w:rsidRPr="001176FD">
        <w:rPr>
          <w:rFonts w:asciiTheme="majorHAnsi" w:eastAsia="Times New Roman" w:hAnsiTheme="majorHAnsi" w:cs="Times New Roman"/>
          <w:sz w:val="22"/>
          <w:lang w:eastAsia="el-GR"/>
        </w:rPr>
        <w:t>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1176FD">
        <w:rPr>
          <w:rFonts w:asciiTheme="majorHAnsi" w:eastAsia="Times New Roman" w:hAnsiTheme="majorHAnsi" w:cs="Times New Roman"/>
          <w:sz w:val="22"/>
          <w:lang w:eastAsia="el-GR"/>
        </w:rPr>
        <w:t>Επιπλέον, στο εγχειρίδιο του ΣΔΕ προβλέπεται διαδικασία παρακολούθησης πράξεων, καθώς και διαδικασία ορισμού και παρακολούθησης του ΕΦ. Η παρακολούθηση των ΟΧΕ θα ακολουθήσει ακριβώς αυτές τις διαδικασίες.</w:t>
      </w:r>
    </w:p>
    <w:p w:rsidR="00A03DDA" w:rsidRPr="001176FD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</w:p>
    <w:p w:rsidR="00A03DDA" w:rsidRPr="00612A45" w:rsidRDefault="00A03DDA" w:rsidP="001176FD">
      <w:pPr>
        <w:rPr>
          <w:rFonts w:asciiTheme="majorHAnsi" w:eastAsia="Times New Roman" w:hAnsiTheme="majorHAnsi" w:cs="Times New Roman"/>
          <w:sz w:val="22"/>
          <w:lang w:eastAsia="el-GR"/>
        </w:rPr>
      </w:pPr>
      <w:r w:rsidRPr="00612A45">
        <w:rPr>
          <w:rFonts w:asciiTheme="majorHAnsi" w:eastAsia="Times New Roman" w:hAnsiTheme="majorHAnsi" w:cs="Times New Roman"/>
          <w:sz w:val="22"/>
          <w:lang w:eastAsia="el-GR"/>
        </w:rPr>
        <w:t xml:space="preserve">Τέλος ως Παραρτήματα στην Εγκύκλιο παραθέσαμε </w:t>
      </w:r>
    </w:p>
    <w:p w:rsidR="00A03DDA" w:rsidRPr="00612A45" w:rsidRDefault="004521F8" w:rsidP="001176FD">
      <w:pPr>
        <w:pStyle w:val="a3"/>
        <w:numPr>
          <w:ilvl w:val="0"/>
          <w:numId w:val="10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  <w:lang w:eastAsia="el-GR"/>
        </w:rPr>
      </w:pPr>
      <w:r>
        <w:rPr>
          <w:rFonts w:asciiTheme="majorHAnsi" w:eastAsia="Times New Roman" w:hAnsiTheme="majorHAnsi" w:cs="Times New Roman"/>
          <w:lang w:eastAsia="el-GR"/>
        </w:rPr>
        <w:t>Ε</w:t>
      </w:r>
      <w:r w:rsidR="00A03DDA" w:rsidRPr="00612A45">
        <w:rPr>
          <w:rFonts w:asciiTheme="majorHAnsi" w:eastAsia="Times New Roman" w:hAnsiTheme="majorHAnsi" w:cs="Times New Roman"/>
          <w:lang w:eastAsia="el-GR"/>
        </w:rPr>
        <w:t xml:space="preserve">νδεικτική μεθοδολογία για τον προσδιορισμό των λειτουργικών αστικών περιοχών, σύμφωνα με μελέτη του ΟΟΣΑ, </w:t>
      </w:r>
    </w:p>
    <w:p w:rsidR="00A03DDA" w:rsidRPr="00612A45" w:rsidRDefault="00A03DDA" w:rsidP="001176FD">
      <w:pPr>
        <w:pStyle w:val="a3"/>
        <w:numPr>
          <w:ilvl w:val="0"/>
          <w:numId w:val="10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  <w:lang w:eastAsia="el-GR"/>
        </w:rPr>
      </w:pPr>
      <w:r w:rsidRPr="00612A45">
        <w:rPr>
          <w:rFonts w:asciiTheme="majorHAnsi" w:eastAsia="Times New Roman" w:hAnsiTheme="majorHAnsi" w:cs="Times New Roman"/>
          <w:lang w:eastAsia="el-GR"/>
        </w:rPr>
        <w:t xml:space="preserve">Προτεινόμενο υπόδειγμα Γραπτής Συμφωνίας μεταξύ της Διαχειριστικής Αρχής και της Αστικής Αρχής </w:t>
      </w:r>
    </w:p>
    <w:p w:rsidR="00A03DDA" w:rsidRPr="00612A45" w:rsidRDefault="00A03DDA" w:rsidP="001176FD">
      <w:pPr>
        <w:pStyle w:val="a3"/>
        <w:numPr>
          <w:ilvl w:val="0"/>
          <w:numId w:val="10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  <w:lang w:eastAsia="el-GR"/>
        </w:rPr>
      </w:pPr>
      <w:r w:rsidRPr="00612A45">
        <w:rPr>
          <w:rFonts w:asciiTheme="majorHAnsi" w:eastAsia="Times New Roman" w:hAnsiTheme="majorHAnsi" w:cs="Times New Roman"/>
          <w:lang w:eastAsia="el-GR"/>
        </w:rPr>
        <w:t xml:space="preserve">Ενδεικτικό σχέδιο περιεχομένου/ κύριων σημείων της </w:t>
      </w:r>
      <w:r w:rsidRPr="00612A45">
        <w:rPr>
          <w:rFonts w:asciiTheme="majorHAnsi" w:eastAsia="Times New Roman" w:hAnsiTheme="majorHAnsi" w:cs="Times New Roman"/>
          <w:i/>
          <w:lang w:eastAsia="el-GR"/>
        </w:rPr>
        <w:t>ΟΧΕ/ ΒΑΑ</w:t>
      </w:r>
    </w:p>
    <w:p w:rsidR="00A03DDA" w:rsidRPr="00612A45" w:rsidRDefault="00A03DDA" w:rsidP="001176FD">
      <w:pPr>
        <w:pStyle w:val="a3"/>
        <w:numPr>
          <w:ilvl w:val="0"/>
          <w:numId w:val="10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  <w:lang w:eastAsia="el-GR"/>
        </w:rPr>
      </w:pPr>
      <w:r w:rsidRPr="00612A45">
        <w:rPr>
          <w:rFonts w:asciiTheme="majorHAnsi" w:eastAsia="Times New Roman" w:hAnsiTheme="majorHAnsi" w:cs="Times New Roman"/>
          <w:lang w:eastAsia="el-GR"/>
        </w:rPr>
        <w:t>Την περιγραφή του Δικτύου Ολοκληρωμένης Χωρικής Ανάπτυξης, στο οποίο σας καλούμε –αν δεν το έχετε ήδη κάνει- να ορίσετε εκπροσώπους σας.</w:t>
      </w:r>
    </w:p>
    <w:p w:rsidR="00A03DDA" w:rsidRPr="00612A45" w:rsidRDefault="00A03DDA" w:rsidP="00582EE6">
      <w:pPr>
        <w:jc w:val="center"/>
        <w:rPr>
          <w:rFonts w:asciiTheme="majorHAnsi" w:hAnsiTheme="majorHAnsi"/>
          <w:sz w:val="24"/>
          <w:szCs w:val="24"/>
        </w:rPr>
      </w:pPr>
    </w:p>
    <w:sectPr w:rsidR="00A03DDA" w:rsidRPr="00612A45" w:rsidSect="00B413D5">
      <w:footerReference w:type="default" r:id="rId9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81" w:rsidRDefault="00260781" w:rsidP="003E3046">
      <w:pPr>
        <w:spacing w:before="0" w:after="0"/>
      </w:pPr>
      <w:r>
        <w:separator/>
      </w:r>
    </w:p>
  </w:endnote>
  <w:endnote w:type="continuationSeparator" w:id="0">
    <w:p w:rsidR="00260781" w:rsidRDefault="00260781" w:rsidP="003E30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69109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3E3046" w:rsidRPr="00CB41BE" w:rsidRDefault="003E3046">
        <w:pPr>
          <w:pStyle w:val="a5"/>
          <w:jc w:val="center"/>
          <w:rPr>
            <w:rFonts w:asciiTheme="majorHAnsi" w:hAnsiTheme="majorHAnsi"/>
          </w:rPr>
        </w:pPr>
        <w:r w:rsidRPr="00CB41BE">
          <w:rPr>
            <w:rFonts w:asciiTheme="majorHAnsi" w:hAnsiTheme="majorHAnsi"/>
          </w:rPr>
          <w:fldChar w:fldCharType="begin"/>
        </w:r>
        <w:r w:rsidRPr="00CB41BE">
          <w:rPr>
            <w:rFonts w:asciiTheme="majorHAnsi" w:hAnsiTheme="majorHAnsi"/>
          </w:rPr>
          <w:instrText>PAGE   \* MERGEFORMAT</w:instrText>
        </w:r>
        <w:r w:rsidRPr="00CB41BE">
          <w:rPr>
            <w:rFonts w:asciiTheme="majorHAnsi" w:hAnsiTheme="majorHAnsi"/>
          </w:rPr>
          <w:fldChar w:fldCharType="separate"/>
        </w:r>
        <w:r w:rsidR="007F5C88">
          <w:rPr>
            <w:rFonts w:asciiTheme="majorHAnsi" w:hAnsiTheme="majorHAnsi"/>
            <w:noProof/>
          </w:rPr>
          <w:t>1</w:t>
        </w:r>
        <w:r w:rsidRPr="00CB41BE">
          <w:rPr>
            <w:rFonts w:asciiTheme="majorHAnsi" w:hAnsiTheme="majorHAnsi"/>
          </w:rPr>
          <w:fldChar w:fldCharType="end"/>
        </w:r>
      </w:p>
    </w:sdtContent>
  </w:sdt>
  <w:p w:rsidR="003E3046" w:rsidRDefault="003E304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81" w:rsidRDefault="00260781" w:rsidP="003E3046">
      <w:pPr>
        <w:spacing w:before="0" w:after="0"/>
      </w:pPr>
      <w:r>
        <w:separator/>
      </w:r>
    </w:p>
  </w:footnote>
  <w:footnote w:type="continuationSeparator" w:id="0">
    <w:p w:rsidR="00260781" w:rsidRDefault="00260781" w:rsidP="003E304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3474"/>
    <w:multiLevelType w:val="hybridMultilevel"/>
    <w:tmpl w:val="FF7A9BB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D251E"/>
    <w:multiLevelType w:val="hybridMultilevel"/>
    <w:tmpl w:val="5DB8ED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E01218"/>
    <w:multiLevelType w:val="hybridMultilevel"/>
    <w:tmpl w:val="441C3F3A"/>
    <w:lvl w:ilvl="0" w:tplc="9924AA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84185"/>
    <w:multiLevelType w:val="hybridMultilevel"/>
    <w:tmpl w:val="857ED7B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D677A53"/>
    <w:multiLevelType w:val="hybridMultilevel"/>
    <w:tmpl w:val="3606132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391369"/>
    <w:multiLevelType w:val="hybridMultilevel"/>
    <w:tmpl w:val="C00C3B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54D58"/>
    <w:multiLevelType w:val="hybridMultilevel"/>
    <w:tmpl w:val="E152966C"/>
    <w:lvl w:ilvl="0" w:tplc="902A3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D4F68"/>
    <w:multiLevelType w:val="hybridMultilevel"/>
    <w:tmpl w:val="1B6E8E4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65397D"/>
    <w:multiLevelType w:val="hybridMultilevel"/>
    <w:tmpl w:val="50FA1F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22407"/>
    <w:multiLevelType w:val="hybridMultilevel"/>
    <w:tmpl w:val="C70E0D52"/>
    <w:lvl w:ilvl="0" w:tplc="577C8E5A">
      <w:numFmt w:val="bullet"/>
      <w:lvlText w:val="-"/>
      <w:lvlJc w:val="left"/>
      <w:pPr>
        <w:ind w:left="1080" w:hanging="720"/>
      </w:pPr>
      <w:rPr>
        <w:rFonts w:ascii="Cambria" w:eastAsiaTheme="minorHAnsi" w:hAnsi="Cambria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56"/>
    <w:rsid w:val="00005C41"/>
    <w:rsid w:val="000165B0"/>
    <w:rsid w:val="00030EE0"/>
    <w:rsid w:val="00045737"/>
    <w:rsid w:val="00074C0E"/>
    <w:rsid w:val="00082972"/>
    <w:rsid w:val="000C4F53"/>
    <w:rsid w:val="000D4856"/>
    <w:rsid w:val="000E18D3"/>
    <w:rsid w:val="000F5D4A"/>
    <w:rsid w:val="001061AD"/>
    <w:rsid w:val="00107F59"/>
    <w:rsid w:val="00113399"/>
    <w:rsid w:val="00114CAC"/>
    <w:rsid w:val="001176FD"/>
    <w:rsid w:val="00130005"/>
    <w:rsid w:val="001442D8"/>
    <w:rsid w:val="00176488"/>
    <w:rsid w:val="001820FD"/>
    <w:rsid w:val="00186521"/>
    <w:rsid w:val="00192CCC"/>
    <w:rsid w:val="001A3940"/>
    <w:rsid w:val="001A77B3"/>
    <w:rsid w:val="001B001C"/>
    <w:rsid w:val="001B2176"/>
    <w:rsid w:val="001C0135"/>
    <w:rsid w:val="001D41CA"/>
    <w:rsid w:val="001D5FAE"/>
    <w:rsid w:val="002042F8"/>
    <w:rsid w:val="0021241B"/>
    <w:rsid w:val="00223FC7"/>
    <w:rsid w:val="00233A34"/>
    <w:rsid w:val="002437BF"/>
    <w:rsid w:val="00243C2D"/>
    <w:rsid w:val="00250C32"/>
    <w:rsid w:val="00260781"/>
    <w:rsid w:val="00292BCB"/>
    <w:rsid w:val="002E1E92"/>
    <w:rsid w:val="002E31B5"/>
    <w:rsid w:val="002F33DB"/>
    <w:rsid w:val="0030009C"/>
    <w:rsid w:val="003119CC"/>
    <w:rsid w:val="0035093F"/>
    <w:rsid w:val="00363766"/>
    <w:rsid w:val="00366897"/>
    <w:rsid w:val="00372A8E"/>
    <w:rsid w:val="003B11A8"/>
    <w:rsid w:val="003C1E55"/>
    <w:rsid w:val="003C424A"/>
    <w:rsid w:val="003D1790"/>
    <w:rsid w:val="003D7D26"/>
    <w:rsid w:val="003E3046"/>
    <w:rsid w:val="003F1C21"/>
    <w:rsid w:val="004016F9"/>
    <w:rsid w:val="00431C00"/>
    <w:rsid w:val="00443066"/>
    <w:rsid w:val="00443F11"/>
    <w:rsid w:val="004521F8"/>
    <w:rsid w:val="00471132"/>
    <w:rsid w:val="00473EB4"/>
    <w:rsid w:val="00484365"/>
    <w:rsid w:val="00495E57"/>
    <w:rsid w:val="004C251C"/>
    <w:rsid w:val="004C50ED"/>
    <w:rsid w:val="004E414C"/>
    <w:rsid w:val="004E418A"/>
    <w:rsid w:val="00502BBE"/>
    <w:rsid w:val="00507FB1"/>
    <w:rsid w:val="0051466D"/>
    <w:rsid w:val="0052526B"/>
    <w:rsid w:val="00565431"/>
    <w:rsid w:val="00571A49"/>
    <w:rsid w:val="00576500"/>
    <w:rsid w:val="00582EE6"/>
    <w:rsid w:val="005B3FB6"/>
    <w:rsid w:val="005D5C99"/>
    <w:rsid w:val="006064F2"/>
    <w:rsid w:val="00612A45"/>
    <w:rsid w:val="00653C08"/>
    <w:rsid w:val="00654395"/>
    <w:rsid w:val="00656E2A"/>
    <w:rsid w:val="006570B0"/>
    <w:rsid w:val="00663C9E"/>
    <w:rsid w:val="00664EC7"/>
    <w:rsid w:val="0067230B"/>
    <w:rsid w:val="00690E51"/>
    <w:rsid w:val="006A0552"/>
    <w:rsid w:val="006A775A"/>
    <w:rsid w:val="006D6343"/>
    <w:rsid w:val="006F5F46"/>
    <w:rsid w:val="00715F1C"/>
    <w:rsid w:val="00723132"/>
    <w:rsid w:val="007338F5"/>
    <w:rsid w:val="0074396B"/>
    <w:rsid w:val="00770E08"/>
    <w:rsid w:val="007A35CD"/>
    <w:rsid w:val="007A398F"/>
    <w:rsid w:val="007A4BBE"/>
    <w:rsid w:val="007C07EF"/>
    <w:rsid w:val="007D42DE"/>
    <w:rsid w:val="007F5C88"/>
    <w:rsid w:val="008047D7"/>
    <w:rsid w:val="0081258D"/>
    <w:rsid w:val="00834B1F"/>
    <w:rsid w:val="00840105"/>
    <w:rsid w:val="00854448"/>
    <w:rsid w:val="00874064"/>
    <w:rsid w:val="00885D2B"/>
    <w:rsid w:val="008A0D77"/>
    <w:rsid w:val="008A5A8D"/>
    <w:rsid w:val="008B011C"/>
    <w:rsid w:val="008B265E"/>
    <w:rsid w:val="008C7C22"/>
    <w:rsid w:val="008F1745"/>
    <w:rsid w:val="008F1E98"/>
    <w:rsid w:val="008F785A"/>
    <w:rsid w:val="00904662"/>
    <w:rsid w:val="00911A85"/>
    <w:rsid w:val="00913DB0"/>
    <w:rsid w:val="0095679A"/>
    <w:rsid w:val="00957130"/>
    <w:rsid w:val="0098544A"/>
    <w:rsid w:val="0099045D"/>
    <w:rsid w:val="00997ECE"/>
    <w:rsid w:val="009A3C79"/>
    <w:rsid w:val="009A3F09"/>
    <w:rsid w:val="009A619D"/>
    <w:rsid w:val="009D1591"/>
    <w:rsid w:val="00A03CA2"/>
    <w:rsid w:val="00A03DDA"/>
    <w:rsid w:val="00A2363E"/>
    <w:rsid w:val="00A243EC"/>
    <w:rsid w:val="00A631E3"/>
    <w:rsid w:val="00A66916"/>
    <w:rsid w:val="00A71983"/>
    <w:rsid w:val="00A75BEF"/>
    <w:rsid w:val="00A833FC"/>
    <w:rsid w:val="00A921D3"/>
    <w:rsid w:val="00AA61D0"/>
    <w:rsid w:val="00AA67A7"/>
    <w:rsid w:val="00AD4B0E"/>
    <w:rsid w:val="00AF4B70"/>
    <w:rsid w:val="00B076D3"/>
    <w:rsid w:val="00B1714B"/>
    <w:rsid w:val="00B20E32"/>
    <w:rsid w:val="00B413D5"/>
    <w:rsid w:val="00B431E3"/>
    <w:rsid w:val="00B51DB3"/>
    <w:rsid w:val="00B75722"/>
    <w:rsid w:val="00B85C47"/>
    <w:rsid w:val="00BA542A"/>
    <w:rsid w:val="00BD7891"/>
    <w:rsid w:val="00BE46E3"/>
    <w:rsid w:val="00BF01EA"/>
    <w:rsid w:val="00BF5647"/>
    <w:rsid w:val="00C00203"/>
    <w:rsid w:val="00C112EE"/>
    <w:rsid w:val="00C11625"/>
    <w:rsid w:val="00C21355"/>
    <w:rsid w:val="00C31BCC"/>
    <w:rsid w:val="00C43952"/>
    <w:rsid w:val="00C71C36"/>
    <w:rsid w:val="00C75B27"/>
    <w:rsid w:val="00C95C23"/>
    <w:rsid w:val="00CA3DF0"/>
    <w:rsid w:val="00CB41BE"/>
    <w:rsid w:val="00CC1F98"/>
    <w:rsid w:val="00CC4EB0"/>
    <w:rsid w:val="00CD6370"/>
    <w:rsid w:val="00CE1542"/>
    <w:rsid w:val="00CF5854"/>
    <w:rsid w:val="00D14267"/>
    <w:rsid w:val="00D26B17"/>
    <w:rsid w:val="00D31BF8"/>
    <w:rsid w:val="00D328F4"/>
    <w:rsid w:val="00D33515"/>
    <w:rsid w:val="00D47A84"/>
    <w:rsid w:val="00D50EED"/>
    <w:rsid w:val="00DA6DE7"/>
    <w:rsid w:val="00DC7890"/>
    <w:rsid w:val="00DD031A"/>
    <w:rsid w:val="00DD166A"/>
    <w:rsid w:val="00DE1E38"/>
    <w:rsid w:val="00DE5CB5"/>
    <w:rsid w:val="00E12E7C"/>
    <w:rsid w:val="00E669BB"/>
    <w:rsid w:val="00E77768"/>
    <w:rsid w:val="00E903D9"/>
    <w:rsid w:val="00E905FF"/>
    <w:rsid w:val="00EA2CCE"/>
    <w:rsid w:val="00EA6A48"/>
    <w:rsid w:val="00EB70E7"/>
    <w:rsid w:val="00EC0CAD"/>
    <w:rsid w:val="00EC3BEF"/>
    <w:rsid w:val="00EF3F8F"/>
    <w:rsid w:val="00F02A5B"/>
    <w:rsid w:val="00F120C1"/>
    <w:rsid w:val="00F146C4"/>
    <w:rsid w:val="00F163A3"/>
    <w:rsid w:val="00F42F79"/>
    <w:rsid w:val="00F47136"/>
    <w:rsid w:val="00F620C3"/>
    <w:rsid w:val="00F67AB2"/>
    <w:rsid w:val="00F85F30"/>
    <w:rsid w:val="00FA7362"/>
    <w:rsid w:val="00FB63D4"/>
    <w:rsid w:val="00FC2208"/>
    <w:rsid w:val="00FC3402"/>
    <w:rsid w:val="00FE5D6A"/>
    <w:rsid w:val="00FE70F7"/>
    <w:rsid w:val="00FF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56"/>
    <w:pPr>
      <w:spacing w:before="120" w:after="120" w:line="240" w:lineRule="auto"/>
      <w:jc w:val="both"/>
    </w:pPr>
    <w:rPr>
      <w:rFonts w:ascii="Calibri" w:hAnsi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D4856"/>
    <w:rPr>
      <w:rFonts w:ascii="Calibri" w:hAnsi="Calibri"/>
      <w:b w:val="0"/>
      <w:i w:val="0"/>
      <w:caps/>
      <w:smallCaps w:val="0"/>
      <w:color w:val="0000FF" w:themeColor="hyperlink"/>
      <w:sz w:val="16"/>
      <w:u w:val="single"/>
    </w:rPr>
  </w:style>
  <w:style w:type="paragraph" w:styleId="a3">
    <w:name w:val="List Paragraph"/>
    <w:basedOn w:val="a"/>
    <w:uiPriority w:val="34"/>
    <w:qFormat/>
    <w:rsid w:val="000D4856"/>
    <w:pPr>
      <w:spacing w:before="0"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a4">
    <w:name w:val="header"/>
    <w:basedOn w:val="a"/>
    <w:link w:val="Char"/>
    <w:uiPriority w:val="99"/>
    <w:unhideWhenUsed/>
    <w:rsid w:val="003E3046"/>
    <w:pPr>
      <w:tabs>
        <w:tab w:val="center" w:pos="4153"/>
        <w:tab w:val="right" w:pos="8306"/>
      </w:tabs>
      <w:spacing w:before="0" w:after="0"/>
    </w:pPr>
  </w:style>
  <w:style w:type="character" w:customStyle="1" w:styleId="Char">
    <w:name w:val="Κεφαλίδα Char"/>
    <w:basedOn w:val="a0"/>
    <w:link w:val="a4"/>
    <w:uiPriority w:val="99"/>
    <w:rsid w:val="003E3046"/>
    <w:rPr>
      <w:rFonts w:ascii="Calibri" w:hAnsi="Calibri"/>
      <w:sz w:val="20"/>
    </w:rPr>
  </w:style>
  <w:style w:type="paragraph" w:styleId="a5">
    <w:name w:val="footer"/>
    <w:basedOn w:val="a"/>
    <w:link w:val="Char0"/>
    <w:uiPriority w:val="99"/>
    <w:unhideWhenUsed/>
    <w:rsid w:val="003E3046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Υποσέλιδο Char"/>
    <w:basedOn w:val="a0"/>
    <w:link w:val="a5"/>
    <w:uiPriority w:val="99"/>
    <w:rsid w:val="003E3046"/>
    <w:rPr>
      <w:rFonts w:ascii="Calibri" w:hAnsi="Calibri"/>
      <w:sz w:val="20"/>
    </w:rPr>
  </w:style>
  <w:style w:type="paragraph" w:customStyle="1" w:styleId="CM1">
    <w:name w:val="CM1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styleId="a6">
    <w:name w:val="footnote text"/>
    <w:aliases w:val="Point 3 Char,Footnote text,Char, Char"/>
    <w:basedOn w:val="a"/>
    <w:link w:val="Char1"/>
    <w:semiHidden/>
    <w:rsid w:val="00E669BB"/>
    <w:pPr>
      <w:spacing w:before="0" w:after="0"/>
      <w:jc w:val="left"/>
    </w:pPr>
    <w:rPr>
      <w:rFonts w:ascii="Times New Roman" w:eastAsia="Times New Roman" w:hAnsi="Times New Roman" w:cs="Times New Roman"/>
      <w:szCs w:val="20"/>
      <w:lang w:eastAsia="el-GR"/>
    </w:rPr>
  </w:style>
  <w:style w:type="character" w:customStyle="1" w:styleId="Char1">
    <w:name w:val="Κείμενο υποσημείωσης Char"/>
    <w:aliases w:val="Point 3 Char Char,Footnote text Char,Char Char, Char Char"/>
    <w:basedOn w:val="a0"/>
    <w:link w:val="a6"/>
    <w:semiHidden/>
    <w:rsid w:val="00E669B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7">
    <w:name w:val="footnote reference"/>
    <w:aliases w:val="Footnote symbol,Footnote"/>
    <w:semiHidden/>
    <w:rsid w:val="00E669BB"/>
    <w:rPr>
      <w:vertAlign w:val="superscript"/>
    </w:rPr>
  </w:style>
  <w:style w:type="paragraph" w:customStyle="1" w:styleId="Default">
    <w:name w:val="Default"/>
    <w:rsid w:val="00C71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B20E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B20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56"/>
    <w:pPr>
      <w:spacing w:before="120" w:after="120" w:line="240" w:lineRule="auto"/>
      <w:jc w:val="both"/>
    </w:pPr>
    <w:rPr>
      <w:rFonts w:ascii="Calibri" w:hAnsi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D4856"/>
    <w:rPr>
      <w:rFonts w:ascii="Calibri" w:hAnsi="Calibri"/>
      <w:b w:val="0"/>
      <w:i w:val="0"/>
      <w:caps/>
      <w:smallCaps w:val="0"/>
      <w:color w:val="0000FF" w:themeColor="hyperlink"/>
      <w:sz w:val="16"/>
      <w:u w:val="single"/>
    </w:rPr>
  </w:style>
  <w:style w:type="paragraph" w:styleId="a3">
    <w:name w:val="List Paragraph"/>
    <w:basedOn w:val="a"/>
    <w:uiPriority w:val="34"/>
    <w:qFormat/>
    <w:rsid w:val="000D4856"/>
    <w:pPr>
      <w:spacing w:before="0" w:after="200" w:line="27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a4">
    <w:name w:val="header"/>
    <w:basedOn w:val="a"/>
    <w:link w:val="Char"/>
    <w:uiPriority w:val="99"/>
    <w:unhideWhenUsed/>
    <w:rsid w:val="003E3046"/>
    <w:pPr>
      <w:tabs>
        <w:tab w:val="center" w:pos="4153"/>
        <w:tab w:val="right" w:pos="8306"/>
      </w:tabs>
      <w:spacing w:before="0" w:after="0"/>
    </w:pPr>
  </w:style>
  <w:style w:type="character" w:customStyle="1" w:styleId="Char">
    <w:name w:val="Κεφαλίδα Char"/>
    <w:basedOn w:val="a0"/>
    <w:link w:val="a4"/>
    <w:uiPriority w:val="99"/>
    <w:rsid w:val="003E3046"/>
    <w:rPr>
      <w:rFonts w:ascii="Calibri" w:hAnsi="Calibri"/>
      <w:sz w:val="20"/>
    </w:rPr>
  </w:style>
  <w:style w:type="paragraph" w:styleId="a5">
    <w:name w:val="footer"/>
    <w:basedOn w:val="a"/>
    <w:link w:val="Char0"/>
    <w:uiPriority w:val="99"/>
    <w:unhideWhenUsed/>
    <w:rsid w:val="003E3046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Υποσέλιδο Char"/>
    <w:basedOn w:val="a0"/>
    <w:link w:val="a5"/>
    <w:uiPriority w:val="99"/>
    <w:rsid w:val="003E3046"/>
    <w:rPr>
      <w:rFonts w:ascii="Calibri" w:hAnsi="Calibri"/>
      <w:sz w:val="20"/>
    </w:rPr>
  </w:style>
  <w:style w:type="paragraph" w:customStyle="1" w:styleId="CM1">
    <w:name w:val="CM1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a"/>
    <w:next w:val="a"/>
    <w:uiPriority w:val="99"/>
    <w:rsid w:val="00114CA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szCs w:val="24"/>
    </w:rPr>
  </w:style>
  <w:style w:type="paragraph" w:styleId="a6">
    <w:name w:val="footnote text"/>
    <w:aliases w:val="Point 3 Char,Footnote text,Char, Char"/>
    <w:basedOn w:val="a"/>
    <w:link w:val="Char1"/>
    <w:semiHidden/>
    <w:rsid w:val="00E669BB"/>
    <w:pPr>
      <w:spacing w:before="0" w:after="0"/>
      <w:jc w:val="left"/>
    </w:pPr>
    <w:rPr>
      <w:rFonts w:ascii="Times New Roman" w:eastAsia="Times New Roman" w:hAnsi="Times New Roman" w:cs="Times New Roman"/>
      <w:szCs w:val="20"/>
      <w:lang w:eastAsia="el-GR"/>
    </w:rPr>
  </w:style>
  <w:style w:type="character" w:customStyle="1" w:styleId="Char1">
    <w:name w:val="Κείμενο υποσημείωσης Char"/>
    <w:aliases w:val="Point 3 Char Char,Footnote text Char,Char Char, Char Char"/>
    <w:basedOn w:val="a0"/>
    <w:link w:val="a6"/>
    <w:semiHidden/>
    <w:rsid w:val="00E669B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7">
    <w:name w:val="footnote reference"/>
    <w:aliases w:val="Footnote symbol,Footnote"/>
    <w:semiHidden/>
    <w:rsid w:val="00E669BB"/>
    <w:rPr>
      <w:vertAlign w:val="superscript"/>
    </w:rPr>
  </w:style>
  <w:style w:type="paragraph" w:customStyle="1" w:styleId="Default">
    <w:name w:val="Default"/>
    <w:rsid w:val="00C71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B20E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B20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1097</Words>
  <Characters>5929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Pelekasi</cp:lastModifiedBy>
  <cp:revision>10</cp:revision>
  <cp:lastPrinted>2015-06-16T20:18:00Z</cp:lastPrinted>
  <dcterms:created xsi:type="dcterms:W3CDTF">2015-06-19T06:51:00Z</dcterms:created>
  <dcterms:modified xsi:type="dcterms:W3CDTF">2015-06-19T07:02:00Z</dcterms:modified>
</cp:coreProperties>
</file>